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B1EA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sz w:val="32"/>
          <w:szCs w:val="28"/>
        </w:rPr>
      </w:pPr>
      <w:r>
        <w:rPr>
          <w:b/>
          <w:bCs/>
          <w:sz w:val="32"/>
          <w:szCs w:val="28"/>
        </w:rPr>
        <w:t>天</w:t>
      </w:r>
      <w:bookmarkStart w:id="0" w:name="_GoBack"/>
      <w:bookmarkEnd w:id="0"/>
      <w:r>
        <w:rPr>
          <w:b/>
          <w:bCs/>
          <w:sz w:val="32"/>
          <w:szCs w:val="28"/>
        </w:rPr>
        <w:t>津文化产权交易所</w:t>
      </w:r>
      <w:r>
        <w:rPr>
          <w:rFonts w:hint="eastAsia"/>
          <w:b/>
          <w:bCs/>
          <w:sz w:val="32"/>
          <w:szCs w:val="28"/>
        </w:rPr>
        <w:t>项目推介业务</w:t>
      </w:r>
      <w:r>
        <w:rPr>
          <w:b/>
          <w:bCs/>
          <w:sz w:val="32"/>
          <w:szCs w:val="28"/>
        </w:rPr>
        <w:t>隐私政策</w:t>
      </w:r>
    </w:p>
    <w:p w14:paraId="7849B7E7">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一、总则</w:t>
      </w:r>
    </w:p>
    <w:p w14:paraId="3C13AE2E">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1.1 本《隐私政策》适用于天津文化产权交易所（以下简称“天津文交所”）提供服务时涉及的个人信息处理活动，旨在保护用户隐私，确保个人信息的收集、使用、储存和保护符合相关法律法规要求。</w:t>
      </w:r>
    </w:p>
    <w:p w14:paraId="5EE11B61">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1.2 天津文交所尊重并保护所有用户的隐私权，本政策详细说明了天津文交所在用户使用服务过程中如何收集、使用、存储、共享、保护及管理用户的个人信息。</w:t>
      </w:r>
    </w:p>
    <w:p w14:paraId="0BE5A2B7">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二、个人信息的收集与使用</w:t>
      </w:r>
    </w:p>
    <w:p w14:paraId="10C104DF">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2.1 收集范围：天津文交所可能收集的个人信息包括但不限于：身份信息、联系信息、交易信息、设备信息、位置信息以及在使用服务过程中产生的其他相关信息。</w:t>
      </w:r>
    </w:p>
    <w:p w14:paraId="22AE82CE">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2.2 收集目的：个人信息的收集主要用于提供服务、完成交易、优化用户体验、进行安全验证、遵守法律法规要求以及改善服务质量。</w:t>
      </w:r>
    </w:p>
    <w:p w14:paraId="17085268">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三、信息的存储与保护</w:t>
      </w:r>
    </w:p>
    <w:p w14:paraId="5C6E197E">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3.1 天津文交所采取各种安全技术和程序，以防信息的丢失、不当使用、未经授权访问或披露。包括但不限于SSL加密、访问控制、数据备份等措施。</w:t>
      </w:r>
    </w:p>
    <w:p w14:paraId="6D581F0D">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3.2 个人信息的存储期限遵循最小必要原则，仅在法律法规要求或为实现收集目的所必需的时间内保留。</w:t>
      </w:r>
    </w:p>
    <w:p w14:paraId="4BFA55DF">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四、信息的共享与转让</w:t>
      </w:r>
    </w:p>
    <w:p w14:paraId="19158386">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4.1 天津文交所不会向无关第三方共享或转让用户的个人信息，除非事先得到用户的明确同意，或者在以下情形下：</w:t>
      </w:r>
    </w:p>
    <w:p w14:paraId="77F83A3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经用户授权；</w:t>
      </w:r>
    </w:p>
    <w:p w14:paraId="5BD9CC8B">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根据法律法规要求或政府机关的强制性要求；</w:t>
      </w:r>
    </w:p>
    <w:p w14:paraId="127C8B3B">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为完成交易、提供服务所必需，且已对第三方进行了必要的保密和安全要求。</w:t>
      </w:r>
    </w:p>
    <w:p w14:paraId="14DD3B27">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五、用户权利</w:t>
      </w:r>
    </w:p>
    <w:p w14:paraId="5F55E97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5.1 用户享有对其个人信息的访问、更正、删除以及撤回同意的权利。天津文交所为用户提供便捷的行使路径，用户可通过客服渠道提出请求。</w:t>
      </w:r>
    </w:p>
    <w:p w14:paraId="4B635527">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5.2 用户对于个人信息的处理有任何疑问或不满，有权向天津文交所提出投诉，天津文交所将及时响应并处理。</w:t>
      </w:r>
    </w:p>
    <w:p w14:paraId="39C10D95">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六、未成年人保护</w:t>
      </w:r>
    </w:p>
    <w:p w14:paraId="64F8C5B7">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6.1 天津文交所重视未成年人的个人信息保护，如用户为未成年人，应在法定监护人的同意和指导下使用服务。</w:t>
      </w:r>
    </w:p>
    <w:p w14:paraId="75ADA5E8">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rFonts w:hint="eastAsia"/>
          <w:b/>
          <w:bCs/>
          <w:sz w:val="24"/>
          <w:szCs w:val="21"/>
        </w:rPr>
        <w:t>七</w:t>
      </w:r>
      <w:r>
        <w:rPr>
          <w:b/>
          <w:bCs/>
          <w:sz w:val="24"/>
          <w:szCs w:val="21"/>
        </w:rPr>
        <w:t>、跨境转移个人信息</w:t>
      </w:r>
    </w:p>
    <w:p w14:paraId="49AD7835">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rFonts w:hint="eastAsia"/>
          <w:sz w:val="24"/>
          <w:szCs w:val="21"/>
        </w:rPr>
        <w:t>7</w:t>
      </w:r>
      <w:r>
        <w:rPr>
          <w:sz w:val="24"/>
          <w:szCs w:val="21"/>
        </w:rPr>
        <w:t>.1 在某些服务场景中，用户的个人信息可能会被转移到中国以外的地区进行存储或处理。在进行此类跨境转移时，天津文交所将确保接收方所在国家/地区的数据保护水平不低于中国法律的要求，并通过签订合同等方式要求接收方按照本隐私政策和相关法律法规的规定处理个人信息。</w:t>
      </w:r>
    </w:p>
    <w:p w14:paraId="31BCA6B4">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rFonts w:hint="eastAsia"/>
          <w:b/>
          <w:bCs/>
          <w:sz w:val="24"/>
          <w:szCs w:val="21"/>
        </w:rPr>
        <w:t>八</w:t>
      </w:r>
      <w:r>
        <w:rPr>
          <w:b/>
          <w:bCs/>
          <w:sz w:val="24"/>
          <w:szCs w:val="21"/>
        </w:rPr>
        <w:t>、安全事件处理</w:t>
      </w:r>
    </w:p>
    <w:p w14:paraId="6BD3BF8F">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rFonts w:hint="eastAsia"/>
          <w:sz w:val="24"/>
          <w:szCs w:val="21"/>
        </w:rPr>
        <w:t>8</w:t>
      </w:r>
      <w:r>
        <w:rPr>
          <w:sz w:val="24"/>
          <w:szCs w:val="21"/>
        </w:rPr>
        <w:t>.1 如果发生个人信息安全事件，如信息泄露、丢失等，天津文交所将按照法律法规要求及时向监管机构报告，并采取合理、有效的措施，尽快控制安全事件，减轻可能带来的负面影响。</w:t>
      </w:r>
    </w:p>
    <w:p w14:paraId="5A0F83E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rFonts w:hint="eastAsia"/>
          <w:sz w:val="24"/>
          <w:szCs w:val="21"/>
        </w:rPr>
        <w:t>8</w:t>
      </w:r>
      <w:r>
        <w:rPr>
          <w:sz w:val="24"/>
          <w:szCs w:val="21"/>
        </w:rPr>
        <w:t>.2 对于可能影响用户个人隐私安全的事件，天津文交所将及时通过站内信、邮件或电话等方式通知受到影响的用户，告知安全事件的基本情况、可能的影响及天津文交所已采取或将要采取的应对措施。</w:t>
      </w:r>
    </w:p>
    <w:p w14:paraId="23F386C4">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rFonts w:hint="eastAsia"/>
          <w:b/>
          <w:bCs/>
          <w:sz w:val="24"/>
          <w:szCs w:val="21"/>
        </w:rPr>
        <w:t>九</w:t>
      </w:r>
      <w:r>
        <w:rPr>
          <w:b/>
          <w:bCs/>
          <w:sz w:val="24"/>
          <w:szCs w:val="21"/>
        </w:rPr>
        <w:t>、第三方链接与服务</w:t>
      </w:r>
    </w:p>
    <w:p w14:paraId="13B8E9A9">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rFonts w:hint="eastAsia"/>
          <w:sz w:val="24"/>
          <w:szCs w:val="21"/>
        </w:rPr>
        <w:t>9</w:t>
      </w:r>
      <w:r>
        <w:rPr>
          <w:sz w:val="24"/>
          <w:szCs w:val="21"/>
        </w:rPr>
        <w:t>.1 天津文交所的网站、应用或服务中可能包含指向第三方网站或服务的链接。本隐私政策不适用于第三方服务，用户在访问第三方链接时应自行查阅其隐私政策。</w:t>
      </w:r>
    </w:p>
    <w:p w14:paraId="384A2E37">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十、免责声明</w:t>
      </w:r>
    </w:p>
    <w:p w14:paraId="316F42CD">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1</w:t>
      </w:r>
      <w:r>
        <w:rPr>
          <w:rFonts w:hint="eastAsia"/>
          <w:sz w:val="24"/>
          <w:szCs w:val="21"/>
        </w:rPr>
        <w:t>0</w:t>
      </w:r>
      <w:r>
        <w:rPr>
          <w:sz w:val="24"/>
          <w:szCs w:val="21"/>
        </w:rPr>
        <w:t>.1 天津文交所将尽力保护用户的个人信息，但无法保证在互联网环境下数据传输的绝对安全。用户在使用互联网服务时，也应采取适当的措施保护个人信息，如定期更换密码、不在公共场所使用不安全的网络等。</w:t>
      </w:r>
    </w:p>
    <w:p w14:paraId="68DFF34A">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b/>
          <w:bCs/>
          <w:sz w:val="24"/>
          <w:szCs w:val="21"/>
        </w:rPr>
        <w:t>十</w:t>
      </w:r>
      <w:r>
        <w:rPr>
          <w:rFonts w:hint="eastAsia"/>
          <w:b/>
          <w:bCs/>
          <w:sz w:val="24"/>
          <w:szCs w:val="21"/>
        </w:rPr>
        <w:t>一</w:t>
      </w:r>
      <w:r>
        <w:rPr>
          <w:b/>
          <w:bCs/>
          <w:sz w:val="24"/>
          <w:szCs w:val="21"/>
        </w:rPr>
        <w:t>、生效与修改</w:t>
      </w:r>
    </w:p>
    <w:p w14:paraId="547CFF05">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1</w:t>
      </w:r>
      <w:r>
        <w:rPr>
          <w:rFonts w:hint="eastAsia"/>
          <w:sz w:val="24"/>
          <w:szCs w:val="21"/>
        </w:rPr>
        <w:t>1</w:t>
      </w:r>
      <w:r>
        <w:rPr>
          <w:sz w:val="24"/>
          <w:szCs w:val="21"/>
        </w:rPr>
        <w:t>.1 本隐私政策自发布之日起生效。天津文交所有权根据法律法规要求、产品或服务的变更，不时更新本政策。任何修改都会在本页面发布，且在重大变更时，天津文交所可能通过公告、邮件等方式通知用户。</w:t>
      </w:r>
    </w:p>
    <w:p w14:paraId="36F55E6B">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sz w:val="24"/>
          <w:szCs w:val="21"/>
        </w:rPr>
        <w:t>1</w:t>
      </w:r>
      <w:r>
        <w:rPr>
          <w:rFonts w:hint="eastAsia"/>
          <w:sz w:val="24"/>
          <w:szCs w:val="21"/>
        </w:rPr>
        <w:t>1</w:t>
      </w:r>
      <w:r>
        <w:rPr>
          <w:sz w:val="24"/>
          <w:szCs w:val="21"/>
        </w:rPr>
        <w:t>.2 用户在本政策更新后继续使用天津文交所的服务，即视为接受更新后的隐私政策。如不同意更新内容，用户有权停止使用服务。</w:t>
      </w:r>
    </w:p>
    <w:p w14:paraId="698CA339">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rFonts w:hint="eastAsia"/>
          <w:b/>
          <w:bCs/>
          <w:sz w:val="24"/>
          <w:szCs w:val="21"/>
        </w:rPr>
        <w:t>十二</w:t>
      </w:r>
      <w:r>
        <w:rPr>
          <w:b/>
          <w:bCs/>
          <w:sz w:val="24"/>
          <w:szCs w:val="21"/>
        </w:rPr>
        <w:t>、隐私政策的更新</w:t>
      </w:r>
    </w:p>
    <w:p w14:paraId="261CA763">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rFonts w:hint="eastAsia"/>
          <w:sz w:val="24"/>
          <w:szCs w:val="21"/>
        </w:rPr>
        <w:t>12</w:t>
      </w:r>
      <w:r>
        <w:rPr>
          <w:sz w:val="24"/>
          <w:szCs w:val="21"/>
        </w:rPr>
        <w:t>.1 本隐私政策可能随法律法规、业务需求及技术进步等因素的变化而更新。更新后的隐私政策将通过天津文交所官方网站或APP等渠道公布，并在变更内容生效前给予显著提示。</w:t>
      </w:r>
    </w:p>
    <w:p w14:paraId="0BCC4253">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bCs/>
          <w:sz w:val="24"/>
          <w:szCs w:val="21"/>
        </w:rPr>
      </w:pPr>
      <w:r>
        <w:rPr>
          <w:rFonts w:hint="eastAsia"/>
          <w:b/>
          <w:bCs/>
          <w:sz w:val="24"/>
          <w:szCs w:val="21"/>
        </w:rPr>
        <w:t>十三</w:t>
      </w:r>
      <w:r>
        <w:rPr>
          <w:b/>
          <w:bCs/>
          <w:sz w:val="24"/>
          <w:szCs w:val="21"/>
        </w:rPr>
        <w:t>、联系我们</w:t>
      </w:r>
    </w:p>
    <w:p w14:paraId="71E7CCBF">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r>
        <w:rPr>
          <w:rFonts w:hint="eastAsia"/>
          <w:sz w:val="24"/>
          <w:szCs w:val="21"/>
        </w:rPr>
        <w:t>13</w:t>
      </w:r>
      <w:r>
        <w:rPr>
          <w:sz w:val="24"/>
          <w:szCs w:val="21"/>
        </w:rPr>
        <w:t>.1 如对本隐私政策有任何问题、意见或建议，欢迎通过天津文交所公布的联系方式与我们联系。</w:t>
      </w:r>
    </w:p>
    <w:p w14:paraId="08567456">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1BD7"/>
    <w:multiLevelType w:val="multilevel"/>
    <w:tmpl w:val="AB2A1BD7"/>
    <w:lvl w:ilvl="0" w:tentative="0">
      <w:start w:val="1"/>
      <w:numFmt w:val="chineseCounting"/>
      <w:suff w:val="nothing"/>
      <w:lvlText w:val="%1、"/>
      <w:lvlJc w:val="left"/>
      <w:pPr>
        <w:tabs>
          <w:tab w:val="left" w:pos="0"/>
        </w:tabs>
        <w:ind w:left="0" w:firstLine="40"/>
      </w:pPr>
      <w:rPr>
        <w:rFonts w:hint="eastAsia" w:ascii="宋体" w:hAnsi="宋体" w:eastAsia="宋体" w:cs="宋体"/>
        <w:b/>
        <w:sz w:val="32"/>
      </w:rPr>
    </w:lvl>
    <w:lvl w:ilvl="1" w:tentative="0">
      <w:start w:val="1"/>
      <w:numFmt w:val="chineseCounting"/>
      <w:suff w:val="nothing"/>
      <w:lvlText w:val="（%2）"/>
      <w:lvlJc w:val="left"/>
      <w:pPr>
        <w:tabs>
          <w:tab w:val="left" w:pos="0"/>
        </w:tabs>
        <w:ind w:left="0" w:firstLine="40"/>
      </w:pPr>
      <w:rPr>
        <w:rFonts w:hint="eastAsia" w:ascii="宋体" w:hAnsi="宋体" w:eastAsia="宋体" w:cs="宋体"/>
        <w:b/>
        <w:sz w:val="32"/>
      </w:rPr>
    </w:lvl>
    <w:lvl w:ilvl="2" w:tentative="0">
      <w:start w:val="1"/>
      <w:numFmt w:val="decimal"/>
      <w:suff w:val="nothing"/>
      <w:lvlText w:val="%3．"/>
      <w:lvlJc w:val="left"/>
      <w:pPr>
        <w:tabs>
          <w:tab w:val="left" w:pos="0"/>
        </w:tabs>
        <w:ind w:left="0" w:firstLine="40"/>
      </w:pPr>
      <w:rPr>
        <w:rFonts w:hint="eastAsia" w:ascii="宋体" w:hAnsi="宋体" w:eastAsia="宋体" w:cs="宋体"/>
        <w:b/>
        <w:sz w:val="30"/>
      </w:rPr>
    </w:lvl>
    <w:lvl w:ilvl="3" w:tentative="0">
      <w:start w:val="1"/>
      <w:numFmt w:val="decimal"/>
      <w:pStyle w:val="3"/>
      <w:suff w:val="nothing"/>
      <w:lvlText w:val="（%4）"/>
      <w:lvlJc w:val="left"/>
      <w:pPr>
        <w:ind w:left="0" w:firstLine="40"/>
      </w:pPr>
      <w:rPr>
        <w:rFonts w:hint="eastAsia" w:ascii="宋体" w:hAnsi="宋体" w:eastAsia="宋体" w:cs="宋体"/>
        <w:sz w:val="30"/>
      </w:rPr>
    </w:lvl>
    <w:lvl w:ilvl="4" w:tentative="0">
      <w:start w:val="1"/>
      <w:numFmt w:val="decimalEnclosedCircleChinese"/>
      <w:suff w:val="nothing"/>
      <w:lvlText w:val="%5"/>
      <w:lvlJc w:val="left"/>
      <w:pPr>
        <w:ind w:left="0" w:firstLine="40"/>
      </w:pPr>
      <w:rPr>
        <w:rFonts w:hint="eastAsia" w:ascii="宋体" w:hAnsi="宋体" w:eastAsia="宋体" w:cs="宋体"/>
        <w:sz w:val="30"/>
      </w:rPr>
    </w:lvl>
    <w:lvl w:ilvl="5" w:tentative="0">
      <w:start w:val="1"/>
      <w:numFmt w:val="decimal"/>
      <w:suff w:val="nothing"/>
      <w:lvlText w:val="%6）"/>
      <w:lvlJc w:val="left"/>
      <w:pPr>
        <w:ind w:left="0" w:firstLine="60"/>
      </w:pPr>
      <w:rPr>
        <w:rFonts w:hint="eastAsia" w:ascii="宋体" w:hAnsi="宋体" w:eastAsia="宋体" w:cs="宋体"/>
        <w:sz w:val="30"/>
      </w:rPr>
    </w:lvl>
    <w:lvl w:ilvl="6" w:tentative="0">
      <w:start w:val="1"/>
      <w:numFmt w:val="lowerLetter"/>
      <w:suff w:val="nothing"/>
      <w:lvlText w:val="%7．"/>
      <w:lvlJc w:val="left"/>
      <w:pPr>
        <w:ind w:left="0" w:firstLine="60"/>
      </w:pPr>
      <w:rPr>
        <w:rFonts w:hint="eastAsia" w:ascii="宋体" w:hAnsi="宋体" w:eastAsia="宋体" w:cs="宋体"/>
        <w:sz w:val="30"/>
      </w:rPr>
    </w:lvl>
    <w:lvl w:ilvl="7" w:tentative="0">
      <w:start w:val="1"/>
      <w:numFmt w:val="lowerLetter"/>
      <w:suff w:val="nothing"/>
      <w:lvlText w:val="%8）"/>
      <w:lvlJc w:val="left"/>
      <w:pPr>
        <w:ind w:left="0" w:firstLine="60"/>
      </w:pPr>
      <w:rPr>
        <w:rFonts w:hint="eastAsia" w:ascii="宋体" w:hAnsi="宋体" w:eastAsia="宋体" w:cs="宋体"/>
        <w:sz w:val="30"/>
      </w:rPr>
    </w:lvl>
    <w:lvl w:ilvl="8" w:tentative="0">
      <w:start w:val="1"/>
      <w:numFmt w:val="lowerRoman"/>
      <w:lvlRestart w:val="0"/>
      <w:pStyle w:val="12"/>
      <w:suff w:val="nothing"/>
      <w:lvlText w:val="%9 "/>
      <w:lvlJc w:val="left"/>
      <w:pPr>
        <w:ind w:left="0" w:firstLine="402"/>
      </w:pPr>
      <w:rPr>
        <w:rFonts w:hint="eastAsia" w:ascii="宋体" w:hAnsi="宋体" w:eastAsia="宋体" w:cs="宋体"/>
      </w:rPr>
    </w:lvl>
  </w:abstractNum>
  <w:abstractNum w:abstractNumId="1">
    <w:nsid w:val="F7DD3784"/>
    <w:multiLevelType w:val="singleLevel"/>
    <w:tmpl w:val="F7DD3784"/>
    <w:lvl w:ilvl="0" w:tentative="0">
      <w:start w:val="1"/>
      <w:numFmt w:val="chineseCounting"/>
      <w:pStyle w:val="5"/>
      <w:suff w:val="nothing"/>
      <w:lvlText w:val="%1、"/>
      <w:lvlJc w:val="left"/>
      <w:pPr>
        <w:ind w:left="0" w:firstLine="397"/>
      </w:pPr>
      <w:rPr>
        <w:rFonts w:hint="eastAsia"/>
      </w:rPr>
    </w:lvl>
  </w:abstractNum>
  <w:abstractNum w:abstractNumId="2">
    <w:nsid w:val="26B7F1ED"/>
    <w:multiLevelType w:val="multilevel"/>
    <w:tmpl w:val="26B7F1E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ZTA4NWYxZWY0MjZkZjg5OWE3ZGM5YTdhNGRhYzkifQ=="/>
  </w:docVars>
  <w:rsids>
    <w:rsidRoot w:val="7B7219C0"/>
    <w:rsid w:val="00224EC4"/>
    <w:rsid w:val="002B752D"/>
    <w:rsid w:val="00537F00"/>
    <w:rsid w:val="00685BA5"/>
    <w:rsid w:val="006C001E"/>
    <w:rsid w:val="0148278F"/>
    <w:rsid w:val="01F3566D"/>
    <w:rsid w:val="07CB13E7"/>
    <w:rsid w:val="10EB1450"/>
    <w:rsid w:val="16EA10E2"/>
    <w:rsid w:val="233424FC"/>
    <w:rsid w:val="24D001F1"/>
    <w:rsid w:val="2C6C3271"/>
    <w:rsid w:val="307B6271"/>
    <w:rsid w:val="34AC7866"/>
    <w:rsid w:val="4430027A"/>
    <w:rsid w:val="47241DC7"/>
    <w:rsid w:val="4B0E08CB"/>
    <w:rsid w:val="562B3D2A"/>
    <w:rsid w:val="58065A3B"/>
    <w:rsid w:val="592014A1"/>
    <w:rsid w:val="60AC61CB"/>
    <w:rsid w:val="640C123D"/>
    <w:rsid w:val="651C781A"/>
    <w:rsid w:val="685E5C6C"/>
    <w:rsid w:val="736031D2"/>
    <w:rsid w:val="75EA6605"/>
    <w:rsid w:val="77286A7D"/>
    <w:rsid w:val="7B72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ind w:firstLine="720" w:firstLineChars="200"/>
    </w:pPr>
    <w:rPr>
      <w:rFonts w:eastAsia="仿宋" w:asciiTheme="minorHAnsi" w:hAnsiTheme="minorHAnsi" w:cstheme="minorBidi"/>
      <w:kern w:val="2"/>
      <w:sz w:val="30"/>
      <w:szCs w:val="24"/>
      <w:lang w:val="en-US" w:eastAsia="zh-CN" w:bidi="ar-SA"/>
    </w:rPr>
  </w:style>
  <w:style w:type="paragraph" w:styleId="4">
    <w:name w:val="heading 1"/>
    <w:basedOn w:val="1"/>
    <w:next w:val="1"/>
    <w:link w:val="18"/>
    <w:qFormat/>
    <w:uiPriority w:val="0"/>
    <w:pPr>
      <w:spacing w:beforeAutospacing="1" w:afterAutospacing="1"/>
      <w:jc w:val="center"/>
      <w:outlineLvl w:val="0"/>
    </w:pPr>
    <w:rPr>
      <w:rFonts w:hint="eastAsia" w:ascii="宋体" w:hAnsi="宋体" w:eastAsia="方正大标宋简体" w:cs="Times New Roman"/>
      <w:bCs/>
      <w:kern w:val="44"/>
      <w:sz w:val="36"/>
      <w:szCs w:val="48"/>
    </w:rPr>
  </w:style>
  <w:style w:type="paragraph" w:styleId="5">
    <w:name w:val="heading 2"/>
    <w:basedOn w:val="1"/>
    <w:next w:val="1"/>
    <w:semiHidden/>
    <w:unhideWhenUsed/>
    <w:qFormat/>
    <w:uiPriority w:val="0"/>
    <w:pPr>
      <w:keepNext/>
      <w:keepLines/>
      <w:numPr>
        <w:ilvl w:val="0"/>
        <w:numId w:val="1"/>
      </w:numPr>
      <w:spacing w:before="260" w:after="260" w:line="413" w:lineRule="auto"/>
      <w:ind w:firstLine="720"/>
      <w:outlineLvl w:val="1"/>
    </w:pPr>
    <w:rPr>
      <w:rFonts w:ascii="Arial" w:hAnsi="Arial" w:eastAsia="黑体"/>
      <w:sz w:val="32"/>
    </w:rPr>
  </w:style>
  <w:style w:type="paragraph" w:styleId="6">
    <w:name w:val="heading 3"/>
    <w:basedOn w:val="1"/>
    <w:next w:val="1"/>
    <w:semiHidden/>
    <w:unhideWhenUsed/>
    <w:qFormat/>
    <w:uiPriority w:val="0"/>
    <w:pPr>
      <w:spacing w:beforeAutospacing="1" w:afterAutospacing="1"/>
      <w:outlineLvl w:val="2"/>
    </w:pPr>
    <w:rPr>
      <w:rFonts w:hint="eastAsia" w:ascii="宋体" w:hAnsi="宋体" w:eastAsia="宋体" w:cs="Times New Roman"/>
      <w:b/>
      <w:bCs/>
      <w:kern w:val="0"/>
      <w:sz w:val="27"/>
      <w:szCs w:val="27"/>
    </w:rPr>
  </w:style>
  <w:style w:type="paragraph" w:styleId="7">
    <w:name w:val="heading 4"/>
    <w:basedOn w:val="1"/>
    <w:next w:val="1"/>
    <w:semiHidden/>
    <w:unhideWhenUsed/>
    <w:qFormat/>
    <w:uiPriority w:val="0"/>
    <w:pPr>
      <w:spacing w:beforeAutospacing="1" w:afterAutospacing="1"/>
      <w:outlineLvl w:val="3"/>
    </w:pPr>
    <w:rPr>
      <w:rFonts w:hint="eastAsia" w:ascii="宋体" w:hAnsi="宋体" w:eastAsia="宋体" w:cs="Times New Roman"/>
      <w:b/>
      <w:bCs/>
      <w:kern w:val="0"/>
      <w:sz w:val="24"/>
    </w:rPr>
  </w:style>
  <w:style w:type="paragraph" w:styleId="8">
    <w:name w:val="heading 5"/>
    <w:basedOn w:val="1"/>
    <w:next w:val="1"/>
    <w:semiHidden/>
    <w:unhideWhenUsed/>
    <w:qFormat/>
    <w:uiPriority w:val="0"/>
    <w:pPr>
      <w:keepNext/>
      <w:keepLines/>
      <w:numPr>
        <w:ilvl w:val="4"/>
        <w:numId w:val="2"/>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after="64" w:line="317" w:lineRule="auto"/>
      <w:ind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macro"/>
    <w:qFormat/>
    <w:uiPriority w:val="0"/>
    <w:pPr>
      <w:widowControl w:val="0"/>
      <w:numPr>
        <w:ilvl w:val="3"/>
        <w:numId w:val="3"/>
      </w:num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3">
    <w:name w:val="Balloon Text"/>
    <w:basedOn w:val="1"/>
    <w:link w:val="19"/>
    <w:qFormat/>
    <w:uiPriority w:val="0"/>
    <w:rPr>
      <w:sz w:val="18"/>
      <w:szCs w:val="18"/>
    </w:rPr>
  </w:style>
  <w:style w:type="paragraph" w:styleId="14">
    <w:name w:val="Normal (Web)"/>
    <w:basedOn w:val="1"/>
    <w:qFormat/>
    <w:uiPriority w:val="0"/>
    <w:pPr>
      <w:spacing w:beforeAutospacing="1" w:afterAutospacing="1"/>
    </w:pPr>
    <w:rPr>
      <w:rFonts w:cs="Times New Roman"/>
      <w:kern w:val="0"/>
      <w:sz w:val="24"/>
    </w:rPr>
  </w:style>
  <w:style w:type="character" w:styleId="17">
    <w:name w:val="Strong"/>
    <w:basedOn w:val="16"/>
    <w:qFormat/>
    <w:uiPriority w:val="0"/>
    <w:rPr>
      <w:b/>
    </w:rPr>
  </w:style>
  <w:style w:type="character" w:customStyle="1" w:styleId="18">
    <w:name w:val="标题 1 Char"/>
    <w:link w:val="4"/>
    <w:qFormat/>
    <w:uiPriority w:val="0"/>
    <w:rPr>
      <w:rFonts w:hint="eastAsia" w:ascii="宋体" w:hAnsi="宋体" w:eastAsia="方正大标宋简体" w:cs="宋体"/>
      <w:bCs/>
      <w:kern w:val="44"/>
      <w:sz w:val="36"/>
      <w:szCs w:val="48"/>
      <w:lang w:val="en-US" w:eastAsia="zh-CN" w:bidi="ar"/>
    </w:rPr>
  </w:style>
  <w:style w:type="character" w:customStyle="1" w:styleId="19">
    <w:name w:val="批注框文本 Char"/>
    <w:basedOn w:val="16"/>
    <w:link w:val="13"/>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5102</Words>
  <Characters>5151</Characters>
  <Lines>37</Lines>
  <Paragraphs>10</Paragraphs>
  <TotalTime>235</TotalTime>
  <ScaleCrop>false</ScaleCrop>
  <LinksUpToDate>false</LinksUpToDate>
  <CharactersWithSpaces>5180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2024-06-24T04:22:00Z</dcterms:created>
  <dc:creator>S</dc:creator>
  <cp:lastModifiedBy>孙宏斌</cp:lastModifiedBy>
  <dcterms:modified xsi:type="dcterms:W3CDTF">2024-07-24T07:11:04Z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11E948BA6D0C42E2B088A15E1AC67850_13</vt:lpwstr>
  </property>
</Properties>
</file>